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hd w:val="clear" w:color="auto" w:fill="D9D9D9" w:themeFill="background1" w:themeFillShade="d9"/>
        <w:spacing w:lineRule="auto" w:line="240" w:before="0" w:after="0"/>
        <w:jc w:val="both"/>
        <w:rPr>
          <w:rFonts w:cs="PLRoman12-Bold"/>
          <w:b/>
          <w:b/>
          <w:bCs/>
          <w:color w:val="C00000"/>
          <w:sz w:val="32"/>
          <w:szCs w:val="32"/>
        </w:rPr>
      </w:pPr>
      <w:r>
        <w:rPr>
          <w:rFonts w:cs="PLRoman12-Bold"/>
          <w:b/>
          <w:bCs/>
          <w:color w:val="C00000"/>
          <w:sz w:val="32"/>
          <w:szCs w:val="32"/>
        </w:rPr>
        <w:t>Operacje (przekształcenia) elementarne macierzy</w:t>
      </w:r>
    </w:p>
    <w:p>
      <w:pPr>
        <w:pStyle w:val="Normal"/>
        <w:spacing w:lineRule="auto" w:line="240" w:before="0" w:after="0"/>
        <w:jc w:val="both"/>
        <w:rPr>
          <w:rFonts w:cs="PLRoman12-Regular"/>
          <w:sz w:val="24"/>
          <w:szCs w:val="24"/>
        </w:rPr>
      </w:pPr>
      <w:r>
        <w:rPr>
          <w:rFonts w:cs="PLRoman12-Regular"/>
          <w:sz w:val="24"/>
          <w:szCs w:val="24"/>
        </w:rPr>
        <w:t xml:space="preserve">W każdej macierzy możemy na jej wierszach i kolumnach wykonywać pewne działania zwane </w:t>
      </w:r>
      <w:r>
        <w:rPr>
          <w:rFonts w:cs="PLRoman12-Regular"/>
          <w:b/>
          <w:sz w:val="24"/>
          <w:szCs w:val="24"/>
        </w:rPr>
        <w:t>operacjami elementarnymi</w:t>
      </w:r>
      <w:r>
        <w:rPr>
          <w:rFonts w:cs="PLRoman12-Regular"/>
          <w:sz w:val="24"/>
          <w:szCs w:val="24"/>
        </w:rPr>
        <w:t xml:space="preserve">. </w:t>
      </w:r>
    </w:p>
    <w:p>
      <w:pPr>
        <w:pStyle w:val="Normal"/>
        <w:spacing w:lineRule="auto" w:line="240" w:before="0" w:after="0"/>
        <w:jc w:val="both"/>
        <w:rPr>
          <w:rFonts w:cs="PLRoman12-Regular"/>
          <w:sz w:val="24"/>
          <w:szCs w:val="24"/>
        </w:rPr>
      </w:pPr>
      <w:r>
        <w:rPr>
          <w:rFonts w:cs="PLRoman12-Regular"/>
          <w:sz w:val="24"/>
          <w:szCs w:val="24"/>
        </w:rPr>
        <w:t>Operacje takie nie zmieniają pewnych własności macierzy, możemy więc za ich pomocą przekształcać macierze do wygodniejszej postaci, z której łatwiej odczytać daną własność.</w:t>
      </w:r>
    </w:p>
    <w:p>
      <w:pPr>
        <w:pStyle w:val="Normal"/>
        <w:spacing w:lineRule="auto" w:line="240" w:before="240" w:after="0"/>
        <w:jc w:val="both"/>
        <w:rPr>
          <w:rFonts w:cs="PLRoman12-Regular"/>
          <w:sz w:val="24"/>
          <w:szCs w:val="24"/>
        </w:rPr>
      </w:pPr>
      <w:r>
        <w:rPr>
          <w:rFonts w:cs="PLRoman12-Regular"/>
          <w:sz w:val="24"/>
          <w:szCs w:val="24"/>
        </w:rPr>
        <w:t>Operacje elementarne wykorzystuje się przy:</w:t>
      </w:r>
    </w:p>
    <w:p>
      <w:pPr>
        <w:pStyle w:val="ListParagraph"/>
        <w:numPr>
          <w:ilvl w:val="0"/>
          <w:numId w:val="1"/>
        </w:numPr>
        <w:spacing w:lineRule="auto" w:line="240" w:before="0" w:after="0"/>
        <w:jc w:val="both"/>
        <w:rPr>
          <w:rFonts w:cs="PLRoman12-Regular"/>
          <w:sz w:val="24"/>
          <w:szCs w:val="24"/>
        </w:rPr>
      </w:pPr>
      <w:r>
        <w:rPr>
          <w:rFonts w:cs="PLRoman12-Regular"/>
          <w:sz w:val="24"/>
          <w:szCs w:val="24"/>
        </w:rPr>
        <w:t>obliczaniu wyznacznika macierzy kwadratowej,</w:t>
      </w:r>
    </w:p>
    <w:p>
      <w:pPr>
        <w:pStyle w:val="ListParagraph"/>
        <w:numPr>
          <w:ilvl w:val="0"/>
          <w:numId w:val="1"/>
        </w:numPr>
        <w:spacing w:lineRule="auto" w:line="240" w:before="0" w:after="0"/>
        <w:jc w:val="both"/>
        <w:rPr>
          <w:rFonts w:cs="PLRoman12-Regular"/>
          <w:sz w:val="24"/>
          <w:szCs w:val="24"/>
        </w:rPr>
      </w:pPr>
      <w:r>
        <w:rPr>
          <w:rFonts w:cs="PLRoman12-Regular"/>
          <w:sz w:val="24"/>
          <w:szCs w:val="24"/>
        </w:rPr>
        <w:t>wyznaczaniu rzędu macierzy,</w:t>
      </w:r>
    </w:p>
    <w:p>
      <w:pPr>
        <w:pStyle w:val="ListParagraph"/>
        <w:numPr>
          <w:ilvl w:val="0"/>
          <w:numId w:val="1"/>
        </w:numPr>
        <w:spacing w:lineRule="auto" w:line="240" w:before="0" w:after="0"/>
        <w:jc w:val="both"/>
        <w:rPr>
          <w:rFonts w:cs="PLRoman12-Regular"/>
          <w:sz w:val="24"/>
          <w:szCs w:val="24"/>
        </w:rPr>
      </w:pPr>
      <w:r>
        <w:rPr>
          <w:rFonts w:cs="PLRoman12-Regular"/>
          <w:sz w:val="24"/>
          <w:szCs w:val="24"/>
        </w:rPr>
        <w:t>rozwiazywaniu układów równań liniowych,</w:t>
      </w:r>
    </w:p>
    <w:p>
      <w:pPr>
        <w:pStyle w:val="ListParagraph"/>
        <w:numPr>
          <w:ilvl w:val="0"/>
          <w:numId w:val="1"/>
        </w:numPr>
        <w:spacing w:lineRule="auto" w:line="240" w:before="0" w:after="0"/>
        <w:jc w:val="both"/>
        <w:rPr>
          <w:rFonts w:cs="PLRoman12-Regular"/>
          <w:sz w:val="24"/>
          <w:szCs w:val="24"/>
        </w:rPr>
      </w:pPr>
      <w:r>
        <w:rPr>
          <w:rFonts w:cs="PLRoman12-Regular"/>
          <w:sz w:val="24"/>
          <w:szCs w:val="24"/>
        </w:rPr>
        <w:t>odwracaniu macierzy (w jednej z metod odwracania).</w:t>
      </w:r>
    </w:p>
    <w:p>
      <w:pPr>
        <w:pStyle w:val="Normal"/>
        <w:spacing w:lineRule="auto" w:line="240" w:before="0" w:after="0"/>
        <w:jc w:val="both"/>
        <w:rPr>
          <w:rFonts w:cs="PLRoman12-Regular"/>
          <w:sz w:val="24"/>
          <w:szCs w:val="24"/>
        </w:rPr>
      </w:pPr>
      <w:r>
        <w:rPr>
          <w:rFonts w:cs="PLRoman12-Regular"/>
          <w:sz w:val="24"/>
          <w:szCs w:val="24"/>
        </w:rPr>
      </w:r>
    </w:p>
    <w:p>
      <w:pPr>
        <w:pStyle w:val="Normal"/>
        <w:spacing w:lineRule="auto" w:line="240" w:before="0" w:after="0"/>
        <w:jc w:val="both"/>
        <w:rPr>
          <w:rFonts w:cs="PLRoman12-Regular"/>
          <w:sz w:val="24"/>
          <w:szCs w:val="24"/>
        </w:rPr>
      </w:pPr>
      <w:r>
        <w:rPr>
          <w:rFonts w:cs="PLRoman12-Regular"/>
          <w:sz w:val="24"/>
          <w:szCs w:val="24"/>
        </w:rPr>
        <w:t>Wyróżniamy trzy operacje elementarne:</w:t>
      </w:r>
    </w:p>
    <w:p>
      <w:pPr>
        <w:pStyle w:val="ListParagraph"/>
        <w:numPr>
          <w:ilvl w:val="0"/>
          <w:numId w:val="2"/>
        </w:numPr>
        <w:spacing w:lineRule="auto" w:line="240" w:before="0" w:after="0"/>
        <w:jc w:val="both"/>
        <w:rPr>
          <w:rFonts w:cs="PLRoman12-Regular"/>
          <w:sz w:val="24"/>
          <w:szCs w:val="24"/>
        </w:rPr>
      </w:pPr>
      <w:r>
        <w:rPr>
          <w:rFonts w:cs="PLRoman12-Regular"/>
          <w:sz w:val="24"/>
          <w:szCs w:val="24"/>
        </w:rPr>
        <w:t>dodanie wielokrotności wiersza (kolumny) do innego wiersza (kolumny),</w:t>
      </w:r>
    </w:p>
    <w:p>
      <w:pPr>
        <w:pStyle w:val="ListParagraph"/>
        <w:numPr>
          <w:ilvl w:val="0"/>
          <w:numId w:val="2"/>
        </w:numPr>
        <w:spacing w:lineRule="auto" w:line="240" w:before="0" w:after="0"/>
        <w:jc w:val="both"/>
        <w:rPr>
          <w:rFonts w:cs="PLRoman12-Regular"/>
          <w:sz w:val="24"/>
          <w:szCs w:val="24"/>
        </w:rPr>
      </w:pPr>
      <w:r>
        <w:rPr>
          <w:rFonts w:cs="PLRoman12-Regular"/>
          <w:sz w:val="24"/>
          <w:szCs w:val="24"/>
        </w:rPr>
        <w:t>mnożenie wiersza lub kolumny przez liczbę różną od zera,</w:t>
      </w:r>
    </w:p>
    <w:p>
      <w:pPr>
        <w:pStyle w:val="ListParagraph"/>
        <w:numPr>
          <w:ilvl w:val="0"/>
          <w:numId w:val="2"/>
        </w:numPr>
        <w:spacing w:lineRule="auto" w:line="240" w:before="0" w:after="0"/>
        <w:jc w:val="both"/>
        <w:rPr>
          <w:rFonts w:cs="PLRoman12-Regular"/>
          <w:sz w:val="24"/>
          <w:szCs w:val="24"/>
        </w:rPr>
      </w:pPr>
      <w:r>
        <w:rPr>
          <w:rFonts w:cs="PLRoman12-Regular"/>
          <w:sz w:val="24"/>
          <w:szCs w:val="24"/>
        </w:rPr>
        <w:t>zamianę miejscami wierszy lub kolumn.</w:t>
      </w:r>
    </w:p>
    <w:p>
      <w:pPr>
        <w:pStyle w:val="Normal"/>
        <w:spacing w:lineRule="auto" w:line="240" w:before="240" w:after="0"/>
        <w:jc w:val="both"/>
        <w:rPr>
          <w:rFonts w:cs="PLRoman12-Bold"/>
          <w:b/>
          <w:b/>
          <w:bCs/>
          <w:sz w:val="24"/>
          <w:szCs w:val="24"/>
        </w:rPr>
      </w:pPr>
      <w:r>
        <w:rPr>
          <w:rFonts w:cs="PLRoman12-Bold"/>
          <w:b/>
          <w:bCs/>
          <w:sz w:val="24"/>
          <w:szCs w:val="24"/>
        </w:rPr>
        <w:t>Których operacji elementarnych należy używać?</w:t>
      </w:r>
    </w:p>
    <w:p>
      <w:pPr>
        <w:pStyle w:val="ListParagraph"/>
        <w:numPr>
          <w:ilvl w:val="0"/>
          <w:numId w:val="3"/>
        </w:numPr>
        <w:spacing w:lineRule="auto" w:line="240" w:before="240" w:after="0"/>
        <w:jc w:val="both"/>
        <w:rPr>
          <w:rFonts w:cs="PLRoman12-Regular"/>
          <w:i/>
          <w:i/>
          <w:sz w:val="24"/>
          <w:szCs w:val="24"/>
          <w:u w:val="single"/>
        </w:rPr>
      </w:pPr>
      <w:r>
        <w:rPr>
          <w:rFonts w:cs="PLRoman12-Regular"/>
          <w:i/>
          <w:sz w:val="24"/>
          <w:szCs w:val="24"/>
          <w:u w:val="single"/>
        </w:rPr>
        <w:t>Wyznaczanie rzędu macierzy</w:t>
      </w:r>
    </w:p>
    <w:p>
      <w:pPr>
        <w:pStyle w:val="Normal"/>
        <w:spacing w:lineRule="auto" w:line="240" w:before="0" w:after="0"/>
        <w:jc w:val="both"/>
        <w:rPr>
          <w:rFonts w:cs="PLRoman12-Regular"/>
          <w:color w:val="009900"/>
          <w:sz w:val="24"/>
          <w:szCs w:val="24"/>
        </w:rPr>
      </w:pPr>
      <w:r>
        <w:rPr>
          <w:rFonts w:cs="PLRoman12-Regular"/>
          <w:color w:val="009900"/>
          <w:sz w:val="24"/>
          <w:szCs w:val="24"/>
        </w:rPr>
        <w:t>Rzędu macierzy nie zmieniają żadne operacje elementarne, zarówno na wierszach, jak i na kolumnach.</w:t>
      </w:r>
    </w:p>
    <w:p>
      <w:pPr>
        <w:pStyle w:val="Normal"/>
        <w:spacing w:lineRule="auto" w:line="240" w:before="0" w:after="0"/>
        <w:jc w:val="both"/>
        <w:rPr>
          <w:rFonts w:cs="PLRoman12-Regular"/>
          <w:sz w:val="24"/>
          <w:szCs w:val="24"/>
        </w:rPr>
      </w:pPr>
      <w:r>
        <w:rPr>
          <w:rFonts w:cs="PLRoman12-Regular"/>
          <w:sz w:val="24"/>
          <w:szCs w:val="24"/>
        </w:rPr>
        <w:t>W tym wypadku mamy wiec całkowitą swobodę działania.</w:t>
      </w:r>
    </w:p>
    <w:p>
      <w:pPr>
        <w:pStyle w:val="ListParagraph"/>
        <w:numPr>
          <w:ilvl w:val="0"/>
          <w:numId w:val="4"/>
        </w:numPr>
        <w:spacing w:lineRule="auto" w:line="240" w:before="240" w:after="0"/>
        <w:jc w:val="both"/>
        <w:rPr>
          <w:rFonts w:cs="PLRoman12-Regular"/>
          <w:i/>
          <w:i/>
          <w:sz w:val="24"/>
          <w:szCs w:val="24"/>
          <w:u w:val="single"/>
        </w:rPr>
      </w:pPr>
      <w:r>
        <w:rPr>
          <w:rFonts w:cs="F52"/>
          <w:i/>
          <w:sz w:val="24"/>
          <w:szCs w:val="24"/>
          <w:u w:val="single"/>
        </w:rPr>
        <w:t>Oblicza</w:t>
      </w:r>
      <w:r>
        <w:rPr>
          <w:rFonts w:cs="PLRoman12-Regular"/>
          <w:i/>
          <w:sz w:val="24"/>
          <w:szCs w:val="24"/>
          <w:u w:val="single"/>
        </w:rPr>
        <w:t>nie wyznacznika macierzy kwadratowej</w:t>
      </w:r>
    </w:p>
    <w:p>
      <w:pPr>
        <w:pStyle w:val="Normal"/>
        <w:spacing w:lineRule="auto" w:line="240" w:before="0" w:after="0"/>
        <w:jc w:val="both"/>
        <w:rPr>
          <w:rFonts w:cs="PLRoman12-Regular"/>
          <w:color w:val="009900"/>
          <w:sz w:val="24"/>
          <w:szCs w:val="24"/>
        </w:rPr>
      </w:pPr>
      <w:r>
        <w:rPr>
          <w:rFonts w:cs="PLRoman12-Regular"/>
          <w:color w:val="009900"/>
          <w:sz w:val="24"/>
          <w:szCs w:val="24"/>
        </w:rPr>
        <w:t>Wartości wyznacznika nie zmienia wyłącznie dodanie wielokrotności jednego wiersza do innego lub wielokrotności jednej kolumny do innej.</w:t>
      </w:r>
    </w:p>
    <w:p>
      <w:pPr>
        <w:pStyle w:val="Normal"/>
        <w:spacing w:lineRule="auto" w:line="240" w:before="0" w:after="0"/>
        <w:jc w:val="both"/>
        <w:rPr>
          <w:rFonts w:cs="PLRoman12-Regular"/>
          <w:color w:val="FF0000"/>
          <w:sz w:val="24"/>
          <w:szCs w:val="24"/>
        </w:rPr>
      </w:pPr>
      <w:r>
        <w:rPr>
          <w:rFonts w:cs="PLRoman12-Regular"/>
          <w:color w:val="FF0000"/>
          <w:sz w:val="24"/>
          <w:szCs w:val="24"/>
        </w:rPr>
        <w:t xml:space="preserve">Natomiast pomnożenie wiersza (lub kolumny) przez liczbę </w:t>
      </w:r>
      <w:r>
        <w:rPr>
          <w:rFonts w:cs="PLMathItalic12-Italic"/>
          <w:i/>
          <w:iCs/>
          <w:color w:val="FF0000"/>
          <w:sz w:val="24"/>
          <w:szCs w:val="24"/>
        </w:rPr>
        <w:t xml:space="preserve">a </w:t>
      </w:r>
      <w:r>
        <w:rPr>
          <w:rFonts w:cs="PLRoman12-Regular"/>
          <w:color w:val="FF0000"/>
          <w:sz w:val="24"/>
          <w:szCs w:val="24"/>
        </w:rPr>
        <w:t xml:space="preserve">powoduje, ze wyznacznik zwiększa się </w:t>
      </w:r>
      <w:r>
        <w:rPr>
          <w:rFonts w:cs="PLMathItalic12-Italic"/>
          <w:i/>
          <w:iCs/>
          <w:color w:val="FF0000"/>
          <w:sz w:val="24"/>
          <w:szCs w:val="24"/>
        </w:rPr>
        <w:t xml:space="preserve">a </w:t>
      </w:r>
      <w:r>
        <w:rPr>
          <w:rFonts w:cs="PLRoman12-Regular"/>
          <w:color w:val="FF0000"/>
          <w:sz w:val="24"/>
          <w:szCs w:val="24"/>
        </w:rPr>
        <w:t>razy. Jeszcze trudniej kontrolować zachowanie wyznacznika przy zamianie miejscami wierszy (lub kolumn)</w:t>
        <w:br/>
        <w:t xml:space="preserve"> - wówczas może (ale nie musi) zmienić się znak wyznacznika, zależy to od liczby dokonanych zamian.</w:t>
      </w:r>
    </w:p>
    <w:p>
      <w:pPr>
        <w:pStyle w:val="Normal"/>
        <w:spacing w:lineRule="auto" w:line="240" w:before="0" w:after="0"/>
        <w:jc w:val="both"/>
        <w:rPr>
          <w:rFonts w:cs="PLRoman12-Regular"/>
          <w:sz w:val="24"/>
          <w:szCs w:val="24"/>
        </w:rPr>
      </w:pPr>
      <w:r>
        <w:rPr>
          <w:rFonts w:cs="PLRoman12-Regular"/>
          <w:sz w:val="24"/>
          <w:szCs w:val="24"/>
        </w:rPr>
        <w:t>Z uwagi na powyższe, w przypadku liczenia wyznacznika najlepiej jest ograniczyć się do pierwszej z wymienionych operacji.</w:t>
      </w:r>
    </w:p>
    <w:p>
      <w:pPr>
        <w:pStyle w:val="ListParagraph"/>
        <w:numPr>
          <w:ilvl w:val="0"/>
          <w:numId w:val="4"/>
        </w:numPr>
        <w:spacing w:lineRule="auto" w:line="240" w:before="240" w:after="0"/>
        <w:jc w:val="both"/>
        <w:rPr>
          <w:rFonts w:cs="PLRoman12-Regular"/>
          <w:i/>
          <w:i/>
          <w:sz w:val="24"/>
          <w:szCs w:val="24"/>
          <w:u w:val="single"/>
        </w:rPr>
      </w:pPr>
      <w:r>
        <w:rPr>
          <w:rFonts w:cs="PLRoman12-Regular"/>
          <w:i/>
          <w:sz w:val="24"/>
          <w:szCs w:val="24"/>
          <w:u w:val="single"/>
        </w:rPr>
        <w:t>Rozwiazywanie układów równań liniowych</w:t>
      </w:r>
    </w:p>
    <w:p>
      <w:pPr>
        <w:pStyle w:val="Normal"/>
        <w:spacing w:lineRule="auto" w:line="240" w:before="0" w:after="0"/>
        <w:jc w:val="both"/>
        <w:rPr>
          <w:rFonts w:cs="PLRoman12-Regular"/>
          <w:sz w:val="24"/>
          <w:szCs w:val="24"/>
        </w:rPr>
      </w:pPr>
      <w:r>
        <w:rPr>
          <w:rFonts w:cs="PLRoman12-Regular"/>
          <w:color w:val="009900"/>
          <w:sz w:val="24"/>
          <w:szCs w:val="24"/>
        </w:rPr>
        <w:t xml:space="preserve">W przypadku rozwiazywania układów równań możemy wykonywać operacje elementarne </w:t>
      </w:r>
      <w:r>
        <w:rPr>
          <w:rFonts w:cs="PLRoman12-Regular"/>
          <w:color w:val="009900"/>
          <w:sz w:val="24"/>
          <w:szCs w:val="24"/>
          <w:u w:val="single"/>
        </w:rPr>
        <w:t>wyłącznie</w:t>
      </w:r>
      <w:r>
        <w:rPr>
          <w:rFonts w:cs="PLRoman12-Regular"/>
          <w:color w:val="009900"/>
          <w:sz w:val="24"/>
          <w:szCs w:val="24"/>
        </w:rPr>
        <w:t xml:space="preserve"> na wierszach. </w:t>
      </w:r>
    </w:p>
    <w:p>
      <w:pPr>
        <w:pStyle w:val="ListParagraph"/>
        <w:numPr>
          <w:ilvl w:val="0"/>
          <w:numId w:val="5"/>
        </w:numPr>
        <w:spacing w:lineRule="auto" w:line="240" w:before="240" w:after="0"/>
        <w:jc w:val="both"/>
        <w:rPr>
          <w:rFonts w:cs="PLRoman12-Regular"/>
          <w:i/>
          <w:i/>
          <w:sz w:val="24"/>
          <w:szCs w:val="24"/>
          <w:u w:val="single"/>
        </w:rPr>
      </w:pPr>
      <w:bookmarkStart w:id="0" w:name="_GoBack"/>
      <w:bookmarkEnd w:id="0"/>
      <w:r>
        <w:rPr>
          <w:rFonts w:cs="PLRoman12-Regular"/>
          <w:i/>
          <w:sz w:val="24"/>
          <w:szCs w:val="24"/>
          <w:u w:val="single"/>
        </w:rPr>
        <w:t>Znajdowanie macierzy odwrotnej</w:t>
      </w:r>
    </w:p>
    <w:p>
      <w:pPr>
        <w:pStyle w:val="Normal"/>
        <w:spacing w:lineRule="auto" w:line="240" w:before="0" w:after="0"/>
        <w:jc w:val="both"/>
        <w:rPr>
          <w:rFonts w:cs="PLRoman12-Regular"/>
          <w:color w:val="FF0000"/>
          <w:sz w:val="24"/>
          <w:szCs w:val="24"/>
          <w:u w:val="single"/>
        </w:rPr>
      </w:pPr>
      <w:r>
        <w:rPr>
          <w:rFonts w:cs="PLRoman12-Regular"/>
          <w:color w:val="009900"/>
          <w:sz w:val="24"/>
          <w:szCs w:val="24"/>
        </w:rPr>
        <w:t xml:space="preserve">Gdy odwracamy macierz przy użyciu dopisanej macierzy jednostkowej, możemy wykonywać operacje elementarne cały czas na wierszach </w:t>
      </w:r>
    </w:p>
    <w:sectPr>
      <w:type w:val="nextPage"/>
      <w:pgSz w:w="12240" w:h="15840"/>
      <w:pgMar w:left="720" w:right="720" w:header="0" w:top="720" w:footer="0" w:bottom="720" w:gutter="0"/>
      <w:pgNumType w:fmt="decimal"/>
      <w:formProt w:val="false"/>
      <w:textDirection w:val="lrTb"/>
      <w:docGrid w:type="default" w:linePitch="299" w:charSpace="4294965247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Liberation Sans">
    <w:altName w:val="Arial"/>
    <w:charset w:val="01"/>
    <w:family w:val="swiss"/>
    <w:pitch w:val="variable"/>
  </w:font>
  <w:font w:name="Symbol">
    <w:charset w:val="02"/>
    <w:family w:val="auto"/>
    <w:pitch w:val="default"/>
  </w:font>
  <w:font w:name="Courier New">
    <w:charset w:val="01"/>
    <w:family w:val="modern"/>
    <w:pitch w:val="fixed"/>
  </w:font>
  <w:font w:name="Wingdings">
    <w:charset w:val="02"/>
    <w:family w:val="auto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bullet"/>
      <w:lvlText w:val="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rFonts w:cs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  <w:rFonts w:cs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  <w:rFonts w:cs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>
    <w:lvl w:ilvl="0">
      <w:start w:val="1"/>
      <w:numFmt w:val="bullet"/>
      <w:lvlText w:val="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rFonts w:cs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  <w:rFonts w:cs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  <w:rFonts w:cs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>
    <w:lvl w:ilvl="0">
      <w:start w:val="1"/>
      <w:numFmt w:val="bullet"/>
      <w:lvlText w:val="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rFonts w:cs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  <w:rFonts w:cs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  <w:rFonts w:cs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">
    <w:lvl w:ilvl="0">
      <w:start w:val="1"/>
      <w:numFmt w:val="bullet"/>
      <w:lvlText w:val="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rFonts w:cs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  <w:rFonts w:cs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  <w:rFonts w:cs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5">
    <w:lvl w:ilvl="0">
      <w:start w:val="1"/>
      <w:numFmt w:val="bullet"/>
      <w:lvlText w:val="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rFonts w:cs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  <w:rFonts w:cs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  <w:rFonts w:cs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6"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</w:numbering>
</file>

<file path=word/settings.xml><?xml version="1.0" encoding="utf-8"?>
<w:settings xmlns:w="http://schemas.openxmlformats.org/wordprocessingml/2006/main">
  <w:zoom w:percent="120"/>
  <w:defaultTabStop w:val="708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pl-PL" w:eastAsia="en-US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sz w:val="22"/>
      <w:szCs w:val="22"/>
      <w:lang w:val="pl-PL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ListLabel1">
    <w:name w:val="ListLabel 1"/>
    <w:qFormat/>
    <w:rPr>
      <w:rFonts w:cs="Courier New"/>
    </w:rPr>
  </w:style>
  <w:style w:type="character" w:styleId="ListLabel2">
    <w:name w:val="ListLabel 2"/>
    <w:qFormat/>
    <w:rPr>
      <w:rFonts w:cs="Courier New"/>
    </w:rPr>
  </w:style>
  <w:style w:type="character" w:styleId="ListLabel3">
    <w:name w:val="ListLabel 3"/>
    <w:qFormat/>
    <w:rPr>
      <w:rFonts w:cs="Courier New"/>
    </w:rPr>
  </w:style>
  <w:style w:type="character" w:styleId="ListLabel4">
    <w:name w:val="ListLabel 4"/>
    <w:qFormat/>
    <w:rPr>
      <w:rFonts w:cs="Courier New"/>
    </w:rPr>
  </w:style>
  <w:style w:type="character" w:styleId="ListLabel5">
    <w:name w:val="ListLabel 5"/>
    <w:qFormat/>
    <w:rPr>
      <w:rFonts w:cs="Courier New"/>
    </w:rPr>
  </w:style>
  <w:style w:type="character" w:styleId="ListLabel6">
    <w:name w:val="ListLabel 6"/>
    <w:qFormat/>
    <w:rPr>
      <w:rFonts w:cs="Courier New"/>
    </w:rPr>
  </w:style>
  <w:style w:type="character" w:styleId="ListLabel7">
    <w:name w:val="ListLabel 7"/>
    <w:qFormat/>
    <w:rPr>
      <w:rFonts w:cs="Courier New"/>
    </w:rPr>
  </w:style>
  <w:style w:type="character" w:styleId="ListLabel8">
    <w:name w:val="ListLabel 8"/>
    <w:qFormat/>
    <w:rPr>
      <w:rFonts w:cs="Courier New"/>
    </w:rPr>
  </w:style>
  <w:style w:type="character" w:styleId="ListLabel9">
    <w:name w:val="ListLabel 9"/>
    <w:qFormat/>
    <w:rPr>
      <w:rFonts w:cs="Courier New"/>
    </w:rPr>
  </w:style>
  <w:style w:type="character" w:styleId="ListLabel10">
    <w:name w:val="ListLabel 10"/>
    <w:qFormat/>
    <w:rPr>
      <w:rFonts w:cs="Courier New"/>
    </w:rPr>
  </w:style>
  <w:style w:type="character" w:styleId="ListLabel11">
    <w:name w:val="ListLabel 11"/>
    <w:qFormat/>
    <w:rPr>
      <w:rFonts w:cs="Courier New"/>
    </w:rPr>
  </w:style>
  <w:style w:type="character" w:styleId="ListLabel12">
    <w:name w:val="ListLabel 12"/>
    <w:qFormat/>
    <w:rPr>
      <w:rFonts w:cs="Courier New"/>
    </w:rPr>
  </w:style>
  <w:style w:type="character" w:styleId="ListLabel13">
    <w:name w:val="ListLabel 13"/>
    <w:qFormat/>
    <w:rPr>
      <w:rFonts w:cs="Courier New"/>
    </w:rPr>
  </w:style>
  <w:style w:type="character" w:styleId="ListLabel14">
    <w:name w:val="ListLabel 14"/>
    <w:qFormat/>
    <w:rPr>
      <w:rFonts w:cs="Courier New"/>
    </w:rPr>
  </w:style>
  <w:style w:type="character" w:styleId="ListLabel15">
    <w:name w:val="ListLabel 15"/>
    <w:qFormat/>
    <w:rPr>
      <w:rFonts w:cs="Courier New"/>
    </w:rPr>
  </w:style>
  <w:style w:type="paragraph" w:styleId="Heading">
    <w:name w:val="Heading"/>
    <w:basedOn w:val="Normal"/>
    <w:next w:val="TextBody"/>
    <w:qFormat/>
    <w:pPr>
      <w:keepNext/>
      <w:spacing w:before="240" w:after="120"/>
    </w:pPr>
    <w:rPr>
      <w:rFonts w:ascii="Liberation Sans" w:hAnsi="Liberation Sans" w:eastAsia="Droid Sans Fallback" w:cs="Lohit Devanagari"/>
      <w:sz w:val="28"/>
      <w:szCs w:val="28"/>
    </w:rPr>
  </w:style>
  <w:style w:type="paragraph" w:styleId="TextBody">
    <w:name w:val="Text Body"/>
    <w:basedOn w:val="Normal"/>
    <w:pPr>
      <w:spacing w:lineRule="auto" w:line="288" w:before="0" w:after="140"/>
    </w:pPr>
    <w:rPr/>
  </w:style>
  <w:style w:type="paragraph" w:styleId="List">
    <w:name w:val="List"/>
    <w:basedOn w:val="TextBody"/>
    <w:pPr/>
    <w:rPr>
      <w:rFonts w:cs="Lohit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ohit Devanagari"/>
    </w:rPr>
  </w:style>
  <w:style w:type="paragraph" w:styleId="ListParagraph">
    <w:name w:val="List Paragraph"/>
    <w:basedOn w:val="Normal"/>
    <w:uiPriority w:val="34"/>
    <w:qFormat/>
    <w:rsid w:val="00cb32da"/>
    <w:pPr>
      <w:spacing w:before="0" w:after="200"/>
      <w:ind w:left="720" w:hanging="0"/>
      <w:contextualSpacing/>
    </w:pPr>
    <w:rPr/>
  </w:style>
  <w:style w:type="numbering" w:styleId="NoList" w:default="1">
    <w:name w:val="No List"/>
    <w:uiPriority w:val="99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160</TotalTime>
  <Application>LibreOffice/5.0.6.2$Linux_X86_64 LibreOffice_project/00$Build-2</Application>
  <Paragraphs>24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2016-10-03T17:16:00Z</dcterms:created>
  <dc:creator>andrzej</dc:creator>
  <dc:language>en-US</dc:language>
  <cp:lastModifiedBy>Piotr Figurny</cp:lastModifiedBy>
  <dcterms:modified xsi:type="dcterms:W3CDTF">2016-12-12T16:28:20Z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